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86C5" w14:textId="4CC3CAA8" w:rsidR="00A462C4" w:rsidRPr="00F66592" w:rsidRDefault="00A462C4" w:rsidP="00A471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66592">
        <w:rPr>
          <w:rFonts w:ascii="Arial" w:hAnsi="Arial" w:cs="Arial"/>
          <w:bCs/>
          <w:sz w:val="20"/>
          <w:szCs w:val="20"/>
        </w:rPr>
        <w:t xml:space="preserve">Na podlagi </w:t>
      </w:r>
      <w:r w:rsidR="002E479C" w:rsidRPr="00F66592">
        <w:rPr>
          <w:rFonts w:ascii="Arial" w:hAnsi="Arial" w:cs="Arial"/>
          <w:bCs/>
          <w:sz w:val="20"/>
          <w:szCs w:val="20"/>
        </w:rPr>
        <w:t>125.</w:t>
      </w:r>
      <w:r w:rsidRPr="00F66592">
        <w:rPr>
          <w:rFonts w:ascii="Arial" w:hAnsi="Arial" w:cs="Arial"/>
          <w:bCs/>
          <w:sz w:val="20"/>
          <w:szCs w:val="20"/>
        </w:rPr>
        <w:t xml:space="preserve"> </w:t>
      </w:r>
      <w:r w:rsidR="007F5EE6" w:rsidRPr="00F66592">
        <w:rPr>
          <w:rFonts w:ascii="Arial" w:hAnsi="Arial" w:cs="Arial"/>
          <w:bCs/>
          <w:sz w:val="20"/>
          <w:szCs w:val="20"/>
        </w:rPr>
        <w:t xml:space="preserve">člena </w:t>
      </w:r>
      <w:r w:rsidRPr="00F66592">
        <w:rPr>
          <w:rFonts w:ascii="Arial" w:hAnsi="Arial" w:cs="Arial"/>
          <w:bCs/>
          <w:sz w:val="20"/>
          <w:szCs w:val="20"/>
        </w:rPr>
        <w:t xml:space="preserve">Zakona o urejanju prostora </w:t>
      </w:r>
      <w:r w:rsidR="002E479C" w:rsidRPr="00F66592">
        <w:rPr>
          <w:rFonts w:ascii="Arial" w:hAnsi="Arial" w:cs="Arial"/>
          <w:bCs/>
          <w:sz w:val="20"/>
          <w:szCs w:val="20"/>
        </w:rPr>
        <w:t xml:space="preserve">– ZureP-3 </w:t>
      </w:r>
      <w:r w:rsidRPr="00F66592">
        <w:rPr>
          <w:rFonts w:ascii="Arial" w:hAnsi="Arial" w:cs="Arial"/>
          <w:bCs/>
          <w:sz w:val="20"/>
          <w:szCs w:val="20"/>
        </w:rPr>
        <w:t xml:space="preserve">(Uradni list RS, št. </w:t>
      </w:r>
      <w:r w:rsidR="002E479C" w:rsidRPr="00F66592">
        <w:rPr>
          <w:rFonts w:ascii="Arial" w:hAnsi="Arial" w:cs="Arial"/>
          <w:bCs/>
          <w:sz w:val="20"/>
          <w:szCs w:val="20"/>
        </w:rPr>
        <w:t>199</w:t>
      </w:r>
      <w:r w:rsidRPr="00F66592">
        <w:rPr>
          <w:rFonts w:ascii="Arial" w:hAnsi="Arial" w:cs="Arial"/>
          <w:bCs/>
          <w:sz w:val="20"/>
          <w:szCs w:val="20"/>
        </w:rPr>
        <w:t>/</w:t>
      </w:r>
      <w:r w:rsidR="002E479C" w:rsidRPr="00F66592">
        <w:rPr>
          <w:rFonts w:ascii="Arial" w:hAnsi="Arial" w:cs="Arial"/>
          <w:bCs/>
          <w:sz w:val="20"/>
          <w:szCs w:val="20"/>
        </w:rPr>
        <w:t>21</w:t>
      </w:r>
      <w:r w:rsidRPr="00F66592">
        <w:rPr>
          <w:rFonts w:ascii="Arial" w:hAnsi="Arial" w:cs="Arial"/>
          <w:bCs/>
          <w:sz w:val="20"/>
          <w:szCs w:val="20"/>
        </w:rPr>
        <w:t xml:space="preserve">) in </w:t>
      </w:r>
      <w:r w:rsidR="008C68B2" w:rsidRPr="00F66592">
        <w:rPr>
          <w:rFonts w:ascii="Arial" w:hAnsi="Arial" w:cs="Arial"/>
          <w:bCs/>
          <w:sz w:val="20"/>
          <w:szCs w:val="20"/>
        </w:rPr>
        <w:t>15</w:t>
      </w:r>
      <w:r w:rsidR="002E479C" w:rsidRPr="00F66592">
        <w:rPr>
          <w:rFonts w:ascii="Arial" w:hAnsi="Arial" w:cs="Arial"/>
          <w:bCs/>
          <w:sz w:val="20"/>
          <w:szCs w:val="20"/>
        </w:rPr>
        <w:t xml:space="preserve">. člena Statuta Občine Sodražica (Uradni list RS, št. 32/11) je </w:t>
      </w:r>
      <w:r w:rsidR="008C68B2" w:rsidRPr="00F66592">
        <w:rPr>
          <w:rFonts w:ascii="Arial" w:hAnsi="Arial" w:cs="Arial"/>
          <w:bCs/>
          <w:sz w:val="20"/>
          <w:szCs w:val="20"/>
        </w:rPr>
        <w:t>Občinski Svet Občine Sodražica na</w:t>
      </w:r>
      <w:r w:rsidR="00365322" w:rsidRPr="00F66592">
        <w:rPr>
          <w:rFonts w:ascii="Arial" w:hAnsi="Arial" w:cs="Arial"/>
          <w:bCs/>
          <w:sz w:val="20"/>
          <w:szCs w:val="20"/>
        </w:rPr>
        <w:t xml:space="preserve"> __ </w:t>
      </w:r>
      <w:r w:rsidR="008C68B2" w:rsidRPr="00F66592">
        <w:rPr>
          <w:rFonts w:ascii="Arial" w:hAnsi="Arial" w:cs="Arial"/>
          <w:bCs/>
          <w:sz w:val="20"/>
          <w:szCs w:val="20"/>
        </w:rPr>
        <w:t>redni seji dne, ___________, sprejel</w:t>
      </w:r>
    </w:p>
    <w:p w14:paraId="033A31B5" w14:textId="6F27B42B" w:rsidR="00B80993" w:rsidRPr="00F66592" w:rsidRDefault="00B80993" w:rsidP="00A471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37CCE8" w14:textId="77777777" w:rsidR="003F403F" w:rsidRPr="00F66592" w:rsidRDefault="003F403F" w:rsidP="00A471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901F6B" w14:textId="44F3BB54" w:rsidR="000A3E79" w:rsidRPr="00F66592" w:rsidRDefault="008C68B2" w:rsidP="00A471E8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spacing w:val="120"/>
          <w:sz w:val="20"/>
          <w:szCs w:val="20"/>
          <w:lang w:eastAsia="en-US"/>
        </w:rPr>
      </w:pPr>
      <w:r w:rsidRPr="00F66592">
        <w:rPr>
          <w:rFonts w:ascii="Arial" w:eastAsia="Times New Roman" w:hAnsi="Arial" w:cs="Arial"/>
          <w:b/>
          <w:spacing w:val="120"/>
          <w:sz w:val="20"/>
          <w:szCs w:val="20"/>
          <w:lang w:eastAsia="en-US"/>
        </w:rPr>
        <w:t>ODLOK</w:t>
      </w:r>
    </w:p>
    <w:p w14:paraId="70067A01" w14:textId="77777777" w:rsidR="008C68B2" w:rsidRPr="00F66592" w:rsidRDefault="008C68B2" w:rsidP="00A471E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6592">
        <w:rPr>
          <w:rFonts w:ascii="Arial" w:hAnsi="Arial" w:cs="Arial"/>
          <w:b/>
          <w:bCs/>
          <w:sz w:val="20"/>
          <w:szCs w:val="20"/>
        </w:rPr>
        <w:t xml:space="preserve">o </w:t>
      </w:r>
      <w:r w:rsidR="000A3E79" w:rsidRPr="00F66592">
        <w:rPr>
          <w:rFonts w:ascii="Arial" w:hAnsi="Arial" w:cs="Arial"/>
          <w:b/>
          <w:bCs/>
          <w:sz w:val="20"/>
          <w:szCs w:val="20"/>
        </w:rPr>
        <w:t>sprememb</w:t>
      </w:r>
      <w:r w:rsidRPr="00F66592">
        <w:rPr>
          <w:rFonts w:ascii="Arial" w:hAnsi="Arial" w:cs="Arial"/>
          <w:b/>
          <w:bCs/>
          <w:sz w:val="20"/>
          <w:szCs w:val="20"/>
        </w:rPr>
        <w:t>ah</w:t>
      </w:r>
      <w:r w:rsidR="000A3E79" w:rsidRPr="00F66592">
        <w:rPr>
          <w:rFonts w:ascii="Arial" w:hAnsi="Arial" w:cs="Arial"/>
          <w:b/>
          <w:bCs/>
          <w:sz w:val="20"/>
          <w:szCs w:val="20"/>
        </w:rPr>
        <w:t xml:space="preserve"> in dopolnit</w:t>
      </w:r>
      <w:r w:rsidRPr="00F66592">
        <w:rPr>
          <w:rFonts w:ascii="Arial" w:hAnsi="Arial" w:cs="Arial"/>
          <w:b/>
          <w:bCs/>
          <w:sz w:val="20"/>
          <w:szCs w:val="20"/>
        </w:rPr>
        <w:t>vah</w:t>
      </w:r>
      <w:r w:rsidR="000A3E79" w:rsidRPr="00F66592">
        <w:rPr>
          <w:rFonts w:ascii="Arial" w:hAnsi="Arial" w:cs="Arial"/>
          <w:b/>
          <w:bCs/>
          <w:sz w:val="20"/>
          <w:szCs w:val="20"/>
        </w:rPr>
        <w:t xml:space="preserve"> Odloka o Občinskem prostorskem načrtu Občine Sodražica </w:t>
      </w:r>
    </w:p>
    <w:p w14:paraId="3F11FFB9" w14:textId="2CAFA204" w:rsidR="000A3E79" w:rsidRPr="00F66592" w:rsidRDefault="000A3E79" w:rsidP="00A471E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6592">
        <w:rPr>
          <w:rFonts w:ascii="Arial" w:hAnsi="Arial" w:cs="Arial"/>
          <w:b/>
          <w:bCs/>
          <w:sz w:val="20"/>
          <w:szCs w:val="20"/>
        </w:rPr>
        <w:t xml:space="preserve">(SD OPN </w:t>
      </w:r>
      <w:r w:rsidR="00016C4B" w:rsidRPr="00F66592">
        <w:rPr>
          <w:rFonts w:ascii="Arial" w:hAnsi="Arial" w:cs="Arial"/>
          <w:b/>
          <w:bCs/>
          <w:sz w:val="20"/>
          <w:szCs w:val="20"/>
        </w:rPr>
        <w:t>4</w:t>
      </w:r>
      <w:r w:rsidRPr="00F66592">
        <w:rPr>
          <w:rFonts w:ascii="Arial" w:hAnsi="Arial" w:cs="Arial"/>
          <w:b/>
          <w:bCs/>
          <w:sz w:val="20"/>
          <w:szCs w:val="20"/>
        </w:rPr>
        <w:t xml:space="preserve"> Sodražica</w:t>
      </w:r>
      <w:r w:rsidR="008C68B2" w:rsidRPr="00F66592">
        <w:rPr>
          <w:rFonts w:ascii="Arial" w:hAnsi="Arial" w:cs="Arial"/>
          <w:b/>
          <w:bCs/>
          <w:sz w:val="20"/>
          <w:szCs w:val="20"/>
        </w:rPr>
        <w:t>)</w:t>
      </w:r>
    </w:p>
    <w:p w14:paraId="5DA7599E" w14:textId="77777777" w:rsidR="00F8097D" w:rsidRPr="00F66592" w:rsidRDefault="00F8097D" w:rsidP="00A471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DB4EC7" w14:textId="279760C4" w:rsidR="008C68B2" w:rsidRPr="00F66592" w:rsidRDefault="008C68B2" w:rsidP="00A471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D7D4F" w14:textId="5A3DBFC4" w:rsidR="00F8097D" w:rsidRPr="00F66592" w:rsidRDefault="00016C4B" w:rsidP="00A471E8">
      <w:pPr>
        <w:pStyle w:val="Odstavekseznam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F66592">
        <w:rPr>
          <w:rFonts w:ascii="Arial" w:hAnsi="Arial" w:cs="Arial"/>
          <w:sz w:val="20"/>
          <w:szCs w:val="20"/>
          <w:lang w:eastAsia="en-US"/>
        </w:rPr>
        <w:t>UVODNE DOLOČBE</w:t>
      </w:r>
    </w:p>
    <w:p w14:paraId="252EA82A" w14:textId="77777777" w:rsidR="00016C4B" w:rsidRPr="00F66592" w:rsidRDefault="00016C4B" w:rsidP="00A471E8">
      <w:pPr>
        <w:pStyle w:val="Odstavekseznama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BE8E548" w14:textId="77777777" w:rsidR="00F8097D" w:rsidRPr="00F66592" w:rsidRDefault="00F8097D" w:rsidP="00A471E8">
      <w:pPr>
        <w:pStyle w:val="Naslov1"/>
        <w:rPr>
          <w:lang w:eastAsia="en-US"/>
        </w:rPr>
      </w:pPr>
      <w:r w:rsidRPr="00F66592">
        <w:rPr>
          <w:lang w:eastAsia="en-US"/>
        </w:rPr>
        <w:t>člen</w:t>
      </w:r>
    </w:p>
    <w:p w14:paraId="70B0CF99" w14:textId="5FC6CD3C" w:rsidR="00F8097D" w:rsidRPr="00F66592" w:rsidRDefault="00F8097D" w:rsidP="00A471E8">
      <w:pPr>
        <w:pStyle w:val="Naslov2"/>
        <w:rPr>
          <w:lang w:eastAsia="en-US"/>
        </w:rPr>
      </w:pPr>
      <w:r w:rsidRPr="00F66592">
        <w:rPr>
          <w:lang w:eastAsia="en-US"/>
        </w:rPr>
        <w:t>(</w:t>
      </w:r>
      <w:r w:rsidR="00016C4B" w:rsidRPr="00F66592">
        <w:rPr>
          <w:lang w:eastAsia="en-US"/>
        </w:rPr>
        <w:t>predmet odloka</w:t>
      </w:r>
      <w:r w:rsidRPr="00F66592">
        <w:rPr>
          <w:lang w:eastAsia="en-US"/>
        </w:rPr>
        <w:t>)</w:t>
      </w:r>
    </w:p>
    <w:p w14:paraId="4A19159F" w14:textId="77777777" w:rsidR="00F8097D" w:rsidRPr="00F66592" w:rsidRDefault="00F8097D" w:rsidP="00A471E8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D7287BE" w14:textId="406D85FF" w:rsidR="009C3E56" w:rsidRPr="00F66592" w:rsidRDefault="00F8097D" w:rsidP="00A471E8">
      <w:pPr>
        <w:pStyle w:val="Odstavekseznama"/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S tem odlokom se sprejmejo spremembe in </w:t>
      </w:r>
      <w:r w:rsidR="00A471E8" w:rsidRPr="00F66592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opolnitve </w:t>
      </w:r>
      <w:r w:rsidR="00016C4B"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Odloka o </w:t>
      </w:r>
      <w:r w:rsidRPr="00F66592">
        <w:rPr>
          <w:rFonts w:ascii="Arial" w:eastAsia="Times New Roman" w:hAnsi="Arial" w:cs="Arial"/>
          <w:sz w:val="20"/>
          <w:szCs w:val="20"/>
          <w:lang w:eastAsia="en-US"/>
        </w:rPr>
        <w:t>Občinske</w:t>
      </w:r>
      <w:r w:rsidR="00016C4B" w:rsidRPr="00F66592">
        <w:rPr>
          <w:rFonts w:ascii="Arial" w:eastAsia="Times New Roman" w:hAnsi="Arial" w:cs="Arial"/>
          <w:sz w:val="20"/>
          <w:szCs w:val="20"/>
          <w:lang w:eastAsia="en-US"/>
        </w:rPr>
        <w:t>m</w:t>
      </w:r>
      <w:r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 prostorske</w:t>
      </w:r>
      <w:r w:rsidR="00016C4B" w:rsidRPr="00F66592">
        <w:rPr>
          <w:rFonts w:ascii="Arial" w:eastAsia="Times New Roman" w:hAnsi="Arial" w:cs="Arial"/>
          <w:sz w:val="20"/>
          <w:szCs w:val="20"/>
          <w:lang w:eastAsia="en-US"/>
        </w:rPr>
        <w:t>m</w:t>
      </w:r>
      <w:r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 načrt</w:t>
      </w:r>
      <w:r w:rsidR="00016C4B" w:rsidRPr="00F66592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 Občine</w:t>
      </w:r>
      <w:r w:rsidR="003C538A"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F66592">
        <w:rPr>
          <w:rFonts w:ascii="Arial" w:eastAsia="Times New Roman" w:hAnsi="Arial" w:cs="Arial"/>
          <w:sz w:val="20"/>
          <w:szCs w:val="20"/>
          <w:lang w:eastAsia="en-US"/>
        </w:rPr>
        <w:t>Sodražica (</w:t>
      </w:r>
      <w:r w:rsidRPr="00F66592">
        <w:rPr>
          <w:rFonts w:ascii="Arial" w:hAnsi="Arial" w:cs="Arial"/>
          <w:bCs/>
          <w:sz w:val="20"/>
          <w:szCs w:val="20"/>
        </w:rPr>
        <w:t>Uradni list RS, št. 133/22</w:t>
      </w:r>
      <w:r w:rsidR="00300C78" w:rsidRPr="00F66592">
        <w:rPr>
          <w:rFonts w:ascii="Arial" w:hAnsi="Arial" w:cs="Arial"/>
          <w:bCs/>
          <w:sz w:val="20"/>
          <w:szCs w:val="20"/>
        </w:rPr>
        <w:t>, 137/22</w:t>
      </w:r>
      <w:r w:rsidR="00B62DF0" w:rsidRPr="00F66592">
        <w:rPr>
          <w:rFonts w:ascii="Arial" w:hAnsi="Arial" w:cs="Arial"/>
          <w:bCs/>
          <w:sz w:val="20"/>
          <w:szCs w:val="20"/>
        </w:rPr>
        <w:t xml:space="preserve"> in 25/23</w:t>
      </w:r>
      <w:r w:rsidRPr="00F66592">
        <w:rPr>
          <w:rFonts w:ascii="Arial" w:hAnsi="Arial" w:cs="Arial"/>
          <w:bCs/>
          <w:sz w:val="20"/>
          <w:szCs w:val="20"/>
        </w:rPr>
        <w:t>)</w:t>
      </w:r>
      <w:r w:rsidR="00365322" w:rsidRPr="00F66592">
        <w:rPr>
          <w:rFonts w:ascii="Arial" w:hAnsi="Arial" w:cs="Arial"/>
          <w:bCs/>
          <w:sz w:val="20"/>
          <w:szCs w:val="20"/>
        </w:rPr>
        <w:t>.</w:t>
      </w:r>
    </w:p>
    <w:p w14:paraId="4C4FB3FA" w14:textId="77777777" w:rsidR="009C3E56" w:rsidRPr="00F66592" w:rsidRDefault="00016C4B" w:rsidP="00A471E8">
      <w:pPr>
        <w:pStyle w:val="Odstavekseznama"/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66592">
        <w:rPr>
          <w:rFonts w:ascii="Arial" w:hAnsi="Arial" w:cs="Arial"/>
          <w:bCs/>
          <w:sz w:val="20"/>
          <w:szCs w:val="20"/>
        </w:rPr>
        <w:t>SD OPN 4 so izvedene po kratkem postopku.</w:t>
      </w:r>
    </w:p>
    <w:p w14:paraId="5AFDD42D" w14:textId="0C8467BC" w:rsidR="00F8097D" w:rsidRPr="00F66592" w:rsidRDefault="00016C4B" w:rsidP="00A471E8">
      <w:pPr>
        <w:pStyle w:val="Odstavekseznama"/>
        <w:numPr>
          <w:ilvl w:val="0"/>
          <w:numId w:val="24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SD OPN 4 so </w:t>
      </w:r>
      <w:r w:rsidR="00365322"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v </w:t>
      </w:r>
      <w:r w:rsidR="00F8097D" w:rsidRPr="00F66592">
        <w:rPr>
          <w:rFonts w:ascii="Arial" w:eastAsia="Times New Roman" w:hAnsi="Arial" w:cs="Arial"/>
          <w:sz w:val="20"/>
          <w:szCs w:val="20"/>
          <w:lang w:eastAsia="en-US"/>
        </w:rPr>
        <w:t>prostorskem informacijskem sistemu objavljen</w:t>
      </w:r>
      <w:r w:rsidR="00A471E8" w:rsidRPr="00F66592">
        <w:rPr>
          <w:rFonts w:ascii="Arial" w:eastAsia="Times New Roman" w:hAnsi="Arial" w:cs="Arial"/>
          <w:sz w:val="20"/>
          <w:szCs w:val="20"/>
          <w:lang w:eastAsia="en-US"/>
        </w:rPr>
        <w:t>e</w:t>
      </w:r>
      <w:r w:rsidR="00F8097D"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 pod identifikacijsko številko ID </w:t>
      </w:r>
      <w:r w:rsidR="00433E33" w:rsidRPr="00F66592">
        <w:rPr>
          <w:rFonts w:ascii="Arial" w:eastAsia="Times New Roman" w:hAnsi="Arial" w:cs="Arial"/>
          <w:sz w:val="20"/>
          <w:szCs w:val="20"/>
          <w:lang w:eastAsia="en-US"/>
        </w:rPr>
        <w:t>__</w:t>
      </w:r>
      <w:r w:rsidR="00A471E8" w:rsidRPr="00F66592">
        <w:rPr>
          <w:rFonts w:ascii="Arial" w:eastAsia="Times New Roman" w:hAnsi="Arial" w:cs="Arial"/>
          <w:sz w:val="20"/>
          <w:szCs w:val="20"/>
          <w:lang w:eastAsia="en-US"/>
        </w:rPr>
        <w:t>__</w:t>
      </w:r>
      <w:r w:rsidR="00433E33" w:rsidRPr="00F66592">
        <w:rPr>
          <w:rFonts w:ascii="Arial" w:eastAsia="Times New Roman" w:hAnsi="Arial" w:cs="Arial"/>
          <w:sz w:val="20"/>
          <w:szCs w:val="20"/>
          <w:lang w:eastAsia="en-US"/>
        </w:rPr>
        <w:t>__</w:t>
      </w:r>
      <w:r w:rsidR="00F8097D" w:rsidRPr="00F66592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45F1A91B" w14:textId="77777777" w:rsidR="00F8097D" w:rsidRPr="00F66592" w:rsidRDefault="00F8097D" w:rsidP="00A471E8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72E9ED3" w14:textId="77777777" w:rsidR="00A471E8" w:rsidRPr="00F66592" w:rsidRDefault="00A471E8" w:rsidP="00A471E8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A368FDE" w14:textId="328C5ED0" w:rsidR="003C538A" w:rsidRPr="00F66592" w:rsidRDefault="00016C4B" w:rsidP="00A471E8">
      <w:pPr>
        <w:pStyle w:val="Odstavekseznama"/>
        <w:numPr>
          <w:ilvl w:val="0"/>
          <w:numId w:val="18"/>
        </w:numPr>
        <w:tabs>
          <w:tab w:val="left" w:pos="567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F66592">
        <w:rPr>
          <w:rFonts w:ascii="Arial" w:hAnsi="Arial" w:cs="Arial"/>
          <w:sz w:val="20"/>
          <w:szCs w:val="20"/>
          <w:lang w:eastAsia="en-US"/>
        </w:rPr>
        <w:t>SPREMEMBE IN DOPOLNITVE</w:t>
      </w:r>
    </w:p>
    <w:p w14:paraId="4836F083" w14:textId="77777777" w:rsidR="003C538A" w:rsidRPr="00F66592" w:rsidRDefault="003C538A" w:rsidP="00A471E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9B3EFC2" w14:textId="5E887B8B" w:rsidR="008E0FB4" w:rsidRPr="00F66592" w:rsidRDefault="008E0FB4" w:rsidP="00A471E8">
      <w:pPr>
        <w:pStyle w:val="Naslov1"/>
        <w:rPr>
          <w:lang w:eastAsia="en-US"/>
        </w:rPr>
      </w:pPr>
      <w:r w:rsidRPr="00F66592">
        <w:rPr>
          <w:lang w:eastAsia="en-US"/>
        </w:rPr>
        <w:t>člen</w:t>
      </w:r>
    </w:p>
    <w:p w14:paraId="34F85ACA" w14:textId="77777777" w:rsidR="008E0FB4" w:rsidRPr="00F66592" w:rsidRDefault="008E0FB4" w:rsidP="00A471E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3C3B0ED" w14:textId="1704189D" w:rsidR="008E0FB4" w:rsidRPr="00F66592" w:rsidRDefault="008E0FB4" w:rsidP="00A47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  <w:lang w:eastAsia="en-US"/>
        </w:rPr>
        <w:t xml:space="preserve">V Prilogi 1 – </w:t>
      </w:r>
      <w:r w:rsidRPr="00F66592">
        <w:rPr>
          <w:rFonts w:ascii="Arial" w:hAnsi="Arial" w:cs="Arial"/>
          <w:sz w:val="20"/>
          <w:szCs w:val="20"/>
        </w:rPr>
        <w:t>Posebni prostorski izvedbeni pogoji po enotah urejanja prostora se vrstic</w:t>
      </w:r>
      <w:r w:rsidR="00A471E8" w:rsidRPr="00F66592">
        <w:rPr>
          <w:rFonts w:ascii="Arial" w:hAnsi="Arial" w:cs="Arial"/>
          <w:sz w:val="20"/>
          <w:szCs w:val="20"/>
        </w:rPr>
        <w:t>a</w:t>
      </w:r>
      <w:r w:rsidRPr="00F66592">
        <w:rPr>
          <w:rFonts w:ascii="Arial" w:hAnsi="Arial" w:cs="Arial"/>
          <w:sz w:val="20"/>
          <w:szCs w:val="20"/>
        </w:rPr>
        <w:t xml:space="preserve"> za EUP </w:t>
      </w:r>
      <w:r w:rsidR="00D91262" w:rsidRPr="00F66592">
        <w:rPr>
          <w:rFonts w:ascii="Arial" w:hAnsi="Arial" w:cs="Arial"/>
          <w:sz w:val="20"/>
          <w:szCs w:val="20"/>
        </w:rPr>
        <w:t>So026</w:t>
      </w:r>
      <w:r w:rsidRPr="00F66592">
        <w:rPr>
          <w:rFonts w:ascii="Arial" w:hAnsi="Arial" w:cs="Arial"/>
          <w:sz w:val="20"/>
          <w:szCs w:val="20"/>
        </w:rPr>
        <w:t xml:space="preserve"> (PNRP </w:t>
      </w:r>
      <w:r w:rsidR="00D91262" w:rsidRPr="00F66592">
        <w:rPr>
          <w:rFonts w:ascii="Arial" w:hAnsi="Arial" w:cs="Arial"/>
          <w:sz w:val="20"/>
          <w:szCs w:val="20"/>
        </w:rPr>
        <w:t>CU)</w:t>
      </w:r>
      <w:r w:rsidRPr="00F66592">
        <w:rPr>
          <w:rFonts w:ascii="Arial" w:hAnsi="Arial" w:cs="Arial"/>
          <w:sz w:val="20"/>
          <w:szCs w:val="20"/>
        </w:rPr>
        <w:t xml:space="preserve"> </w:t>
      </w:r>
      <w:r w:rsidR="00A471E8" w:rsidRPr="00F66592">
        <w:rPr>
          <w:rFonts w:ascii="Arial" w:hAnsi="Arial" w:cs="Arial"/>
          <w:sz w:val="20"/>
          <w:szCs w:val="20"/>
        </w:rPr>
        <w:t>spremeni tako, da se glasi</w:t>
      </w:r>
      <w:r w:rsidRPr="00F66592">
        <w:rPr>
          <w:rFonts w:ascii="Arial" w:hAnsi="Arial" w:cs="Arial"/>
          <w:sz w:val="20"/>
          <w:szCs w:val="20"/>
        </w:rPr>
        <w:t>:</w:t>
      </w:r>
    </w:p>
    <w:p w14:paraId="519ABC37" w14:textId="637149A5" w:rsidR="008E0FB4" w:rsidRPr="00F66592" w:rsidRDefault="008E0FB4" w:rsidP="00A47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</w:rPr>
        <w:t>»</w:t>
      </w: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5"/>
        <w:gridCol w:w="505"/>
        <w:gridCol w:w="764"/>
        <w:gridCol w:w="1550"/>
        <w:gridCol w:w="5033"/>
        <w:gridCol w:w="697"/>
      </w:tblGrid>
      <w:tr w:rsidR="00F66592" w:rsidRPr="00F66592" w14:paraId="6282B0C9" w14:textId="77777777" w:rsidTr="00330885">
        <w:trPr>
          <w:trHeight w:val="567"/>
        </w:trPr>
        <w:tc>
          <w:tcPr>
            <w:tcW w:w="795" w:type="dxa"/>
            <w:shd w:val="clear" w:color="auto" w:fill="auto"/>
          </w:tcPr>
          <w:p w14:paraId="6F394D97" w14:textId="02A6F2AA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So026</w:t>
            </w:r>
          </w:p>
        </w:tc>
        <w:tc>
          <w:tcPr>
            <w:tcW w:w="500" w:type="dxa"/>
            <w:shd w:val="clear" w:color="auto" w:fill="auto"/>
          </w:tcPr>
          <w:p w14:paraId="04628B3A" w14:textId="59B81044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765" w:type="dxa"/>
            <w:shd w:val="clear" w:color="auto" w:fill="auto"/>
          </w:tcPr>
          <w:p w14:paraId="5383DCCD" w14:textId="77777777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14:paraId="04BA8F2D" w14:textId="0554D681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Karta razredov poplavne nevarnosti - območje srednje nevarnosti (1)</w:t>
            </w:r>
          </w:p>
        </w:tc>
        <w:tc>
          <w:tcPr>
            <w:tcW w:w="5037" w:type="dxa"/>
            <w:shd w:val="clear" w:color="auto" w:fill="auto"/>
          </w:tcPr>
          <w:p w14:paraId="68CBF79C" w14:textId="77777777" w:rsidR="00D91262" w:rsidRPr="00F66592" w:rsidRDefault="00D91262" w:rsidP="00A471E8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Protipoplavni ukrepi - splošno (2)</w:t>
            </w:r>
          </w:p>
          <w:p w14:paraId="041357A4" w14:textId="73E70398" w:rsidR="00D91262" w:rsidRPr="00F66592" w:rsidRDefault="00D91262" w:rsidP="00A471E8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 posegi je treba izvesti celovite protipoplavne ukrepe, ki se smiselno navezujejo na območje EUP in so opredeljeni v elaboratu Analiza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poplavnosti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občini Sodražica, IS Projekt d.o.o., št. 20-S/16, Ljubljana, avgust 2017,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dop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april – junij 2020.</w:t>
            </w:r>
          </w:p>
        </w:tc>
        <w:tc>
          <w:tcPr>
            <w:tcW w:w="697" w:type="dxa"/>
            <w:shd w:val="clear" w:color="auto" w:fill="auto"/>
          </w:tcPr>
          <w:p w14:paraId="7515DB15" w14:textId="10DFCB54" w:rsidR="00D91262" w:rsidRPr="00F66592" w:rsidRDefault="00D91262" w:rsidP="00A471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F66592" w:rsidRPr="00F66592" w14:paraId="4D5BDD5A" w14:textId="77777777" w:rsidTr="00330885">
        <w:trPr>
          <w:trHeight w:val="567"/>
        </w:trPr>
        <w:tc>
          <w:tcPr>
            <w:tcW w:w="795" w:type="dxa"/>
            <w:shd w:val="clear" w:color="auto" w:fill="auto"/>
          </w:tcPr>
          <w:p w14:paraId="50B00AA6" w14:textId="10670674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C9568E3" w14:textId="6F1B966F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14:paraId="5AE57320" w14:textId="77777777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14:paraId="2F7E8857" w14:textId="6DE7C273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7" w:type="dxa"/>
            <w:shd w:val="clear" w:color="auto" w:fill="auto"/>
          </w:tcPr>
          <w:p w14:paraId="6C090C46" w14:textId="77777777" w:rsidR="00A471E8" w:rsidRPr="00F66592" w:rsidRDefault="00D91262" w:rsidP="00A471E8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umeščanju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stavb v prostor je treba upoštevati vertikalni gabarit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prevladujočega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tipa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obstoječih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objektov iste namembnosti, funkcionalnih in tehnoloških potreb. </w:t>
            </w:r>
          </w:p>
          <w:p w14:paraId="244132CC" w14:textId="3BE57011" w:rsidR="00D91262" w:rsidRPr="00F66592" w:rsidRDefault="00D91262" w:rsidP="00A471E8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 ne velja za stavbe, ki so zaradi funkcionalnih zahtev izrazito višje (</w:t>
            </w:r>
            <w:r w:rsidR="00B758D0"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stavbe s svojevrstno oblikovno zasnovo – cerkev, stavbe za izobraževanje, znanstveno raziskovalno delo in zdravstvo, stanovanjske stavbe za posebne družbene skupine in drugi podobni objekti)</w:t>
            </w: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Višina</w:t>
            </w:r>
            <w:r w:rsidR="00B758D0"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stavb</w:t>
            </w: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lahko največ 1</w:t>
            </w:r>
            <w:r w:rsidR="00B758D0"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,0 m. </w:t>
            </w:r>
          </w:p>
        </w:tc>
        <w:tc>
          <w:tcPr>
            <w:tcW w:w="697" w:type="dxa"/>
            <w:shd w:val="clear" w:color="auto" w:fill="auto"/>
          </w:tcPr>
          <w:p w14:paraId="744670A2" w14:textId="1BEE725D" w:rsidR="00D91262" w:rsidRPr="00F66592" w:rsidRDefault="00D91262" w:rsidP="00A471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</w:tbl>
    <w:p w14:paraId="0EF90D2C" w14:textId="62B47A10" w:rsidR="00D91262" w:rsidRDefault="00D91262" w:rsidP="00A471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</w:rPr>
        <w:t>«</w:t>
      </w:r>
    </w:p>
    <w:p w14:paraId="51B696A9" w14:textId="77777777" w:rsidR="00F66592" w:rsidRPr="00F66592" w:rsidRDefault="00F66592" w:rsidP="00A471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A5A05" w14:textId="77777777" w:rsidR="00F66592" w:rsidRPr="00F66592" w:rsidRDefault="00F66592" w:rsidP="00F66592">
      <w:pPr>
        <w:pStyle w:val="Naslov1"/>
        <w:rPr>
          <w:lang w:eastAsia="en-US"/>
        </w:rPr>
      </w:pPr>
      <w:r w:rsidRPr="00F66592">
        <w:rPr>
          <w:lang w:eastAsia="en-US"/>
        </w:rPr>
        <w:t>člen</w:t>
      </w:r>
    </w:p>
    <w:p w14:paraId="077C5759" w14:textId="77777777" w:rsidR="00F66592" w:rsidRPr="00F66592" w:rsidRDefault="00F66592" w:rsidP="00F66592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82FA987" w14:textId="4160290E" w:rsidR="00F66592" w:rsidRPr="00F66592" w:rsidRDefault="00F66592" w:rsidP="00F66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  <w:lang w:eastAsia="en-US"/>
        </w:rPr>
        <w:t xml:space="preserve">V Prilogi 1 – </w:t>
      </w:r>
      <w:r w:rsidRPr="00F66592">
        <w:rPr>
          <w:rFonts w:ascii="Arial" w:hAnsi="Arial" w:cs="Arial"/>
          <w:sz w:val="20"/>
          <w:szCs w:val="20"/>
        </w:rPr>
        <w:t>Posebni prostorski izvedbeni pogoji po enotah urejanja prostora se vrstica za EUP So029 (PNRP CU) spremeni tako, da se glasi:</w:t>
      </w:r>
    </w:p>
    <w:p w14:paraId="678782B9" w14:textId="77777777" w:rsidR="00F66592" w:rsidRPr="00F66592" w:rsidRDefault="00F66592" w:rsidP="00F66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</w:rPr>
        <w:t>»</w:t>
      </w: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5"/>
        <w:gridCol w:w="505"/>
        <w:gridCol w:w="764"/>
        <w:gridCol w:w="1550"/>
        <w:gridCol w:w="5033"/>
        <w:gridCol w:w="697"/>
      </w:tblGrid>
      <w:tr w:rsidR="00F66592" w:rsidRPr="00F66592" w14:paraId="517907B4" w14:textId="77777777" w:rsidTr="00330885">
        <w:trPr>
          <w:trHeight w:val="567"/>
        </w:trPr>
        <w:tc>
          <w:tcPr>
            <w:tcW w:w="795" w:type="dxa"/>
            <w:shd w:val="clear" w:color="auto" w:fill="auto"/>
          </w:tcPr>
          <w:p w14:paraId="54AED583" w14:textId="0F4DFB62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So029</w:t>
            </w:r>
          </w:p>
        </w:tc>
        <w:tc>
          <w:tcPr>
            <w:tcW w:w="505" w:type="dxa"/>
            <w:shd w:val="clear" w:color="auto" w:fill="auto"/>
          </w:tcPr>
          <w:p w14:paraId="5241E86B" w14:textId="6126B076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CU</w:t>
            </w:r>
          </w:p>
        </w:tc>
        <w:tc>
          <w:tcPr>
            <w:tcW w:w="764" w:type="dxa"/>
            <w:shd w:val="clear" w:color="auto" w:fill="auto"/>
          </w:tcPr>
          <w:p w14:paraId="457E24F1" w14:textId="244C83B9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0" w:type="dxa"/>
            <w:shd w:val="clear" w:color="auto" w:fill="auto"/>
          </w:tcPr>
          <w:p w14:paraId="135C03C0" w14:textId="3576C1EA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Karta razredov poplavne nevarnosti - območje velike nevarnosti (1)</w:t>
            </w:r>
          </w:p>
        </w:tc>
        <w:tc>
          <w:tcPr>
            <w:tcW w:w="5033" w:type="dxa"/>
            <w:shd w:val="clear" w:color="auto" w:fill="auto"/>
          </w:tcPr>
          <w:p w14:paraId="0110218C" w14:textId="3ECF58B6" w:rsidR="00F66592" w:rsidRPr="00F66592" w:rsidRDefault="00F66592" w:rsidP="00F6659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Protipoplavni ukrepi - splošno (2)</w:t>
            </w: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 xml:space="preserve">Pred posegi je treba izvesti celovite protipoplavne ukrepe, ki se smiselno navezujejo na območje EUP in so opredeljeni v elaboratu Analiza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poplavnosti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občini Sodražica, IS Projekt d.o.o., št. 20-S/16, Ljubljana, avgust 2017,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dop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april – junij 2020.</w:t>
            </w:r>
          </w:p>
        </w:tc>
        <w:tc>
          <w:tcPr>
            <w:tcW w:w="697" w:type="dxa"/>
            <w:shd w:val="clear" w:color="auto" w:fill="auto"/>
          </w:tcPr>
          <w:p w14:paraId="62E39FDF" w14:textId="785138A0" w:rsidR="00F66592" w:rsidRPr="00F66592" w:rsidRDefault="00F66592" w:rsidP="00F6659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08</w:t>
            </w:r>
          </w:p>
        </w:tc>
      </w:tr>
      <w:tr w:rsidR="00F66592" w:rsidRPr="00F66592" w14:paraId="1CD8098A" w14:textId="77777777" w:rsidTr="00330885">
        <w:trPr>
          <w:trHeight w:val="567"/>
        </w:trPr>
        <w:tc>
          <w:tcPr>
            <w:tcW w:w="795" w:type="dxa"/>
            <w:shd w:val="clear" w:color="auto" w:fill="auto"/>
          </w:tcPr>
          <w:p w14:paraId="2B295397" w14:textId="5EF63AF3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14:paraId="6B78A178" w14:textId="27405A9D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shd w:val="clear" w:color="auto" w:fill="auto"/>
          </w:tcPr>
          <w:p w14:paraId="0DD75BBA" w14:textId="6AE106CF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0" w:type="dxa"/>
            <w:shd w:val="clear" w:color="auto" w:fill="auto"/>
          </w:tcPr>
          <w:p w14:paraId="19E6AE0A" w14:textId="55CF21DE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33" w:type="dxa"/>
            <w:shd w:val="clear" w:color="auto" w:fill="auto"/>
          </w:tcPr>
          <w:p w14:paraId="1B066B02" w14:textId="77777777" w:rsidR="00F66592" w:rsidRPr="00F66592" w:rsidRDefault="00F66592" w:rsidP="00F6659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umeščanju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stavb v prostor je treba upoštevati vertikalni gabarit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prevladujočega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tipa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obstoječih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objektov iste namembnosti, funkcionalnih in tehnoloških potreb. </w:t>
            </w:r>
          </w:p>
          <w:p w14:paraId="0082D2CE" w14:textId="6905B53A" w:rsidR="00F66592" w:rsidRPr="00F66592" w:rsidRDefault="00F66592" w:rsidP="00F6659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To ne velja za stavbe, ki so zaradi funkcionalnih zahtev izrazito višje (stavbe s svojevrstno oblikovno zasnovo – cerkev, stavbe za izobraževanje, znanstveno raziskovalno delo in zdravstvo, stanovanjske stavbe za posebne družbene skupine in drugi podobni objekti). Višina stavb je lahko največ 18,0 m. </w:t>
            </w:r>
          </w:p>
        </w:tc>
        <w:tc>
          <w:tcPr>
            <w:tcW w:w="697" w:type="dxa"/>
            <w:shd w:val="clear" w:color="auto" w:fill="auto"/>
          </w:tcPr>
          <w:p w14:paraId="35DDE647" w14:textId="48D32AA5" w:rsidR="00F66592" w:rsidRPr="00F66592" w:rsidRDefault="00F66592" w:rsidP="00F6659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08</w:t>
            </w:r>
          </w:p>
        </w:tc>
      </w:tr>
    </w:tbl>
    <w:p w14:paraId="26F2A69C" w14:textId="77777777" w:rsidR="00F66592" w:rsidRDefault="00F66592" w:rsidP="00F66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</w:rPr>
        <w:t>«</w:t>
      </w:r>
    </w:p>
    <w:p w14:paraId="74371E49" w14:textId="77777777" w:rsidR="00F66592" w:rsidRPr="00F66592" w:rsidRDefault="00F66592" w:rsidP="00F66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EE8058" w14:textId="77777777" w:rsidR="00F66592" w:rsidRPr="00F66592" w:rsidRDefault="00F66592" w:rsidP="00F66592">
      <w:pPr>
        <w:pStyle w:val="Naslov1"/>
        <w:rPr>
          <w:lang w:eastAsia="en-US"/>
        </w:rPr>
      </w:pPr>
      <w:r w:rsidRPr="00F66592">
        <w:rPr>
          <w:lang w:eastAsia="en-US"/>
        </w:rPr>
        <w:t>člen</w:t>
      </w:r>
    </w:p>
    <w:p w14:paraId="69BE895B" w14:textId="77777777" w:rsidR="00F66592" w:rsidRPr="00F66592" w:rsidRDefault="00F66592" w:rsidP="00F66592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DA85CA6" w14:textId="56A6A00F" w:rsidR="00F66592" w:rsidRPr="00F66592" w:rsidRDefault="00F66592" w:rsidP="00F66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  <w:lang w:eastAsia="en-US"/>
        </w:rPr>
        <w:t xml:space="preserve">V Prilogi 1 – </w:t>
      </w:r>
      <w:r w:rsidRPr="00F66592">
        <w:rPr>
          <w:rFonts w:ascii="Arial" w:hAnsi="Arial" w:cs="Arial"/>
          <w:sz w:val="20"/>
          <w:szCs w:val="20"/>
        </w:rPr>
        <w:t>Posebni prostorski izvedbeni pogoji po enotah urejanja prostora se vrstica za EUP So030 (PNRP CU) spremeni tako, da se glasi:</w:t>
      </w:r>
    </w:p>
    <w:p w14:paraId="4EF7180E" w14:textId="77777777" w:rsidR="00F66592" w:rsidRPr="00F66592" w:rsidRDefault="00F66592" w:rsidP="00F66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</w:rPr>
        <w:t>»</w:t>
      </w: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5"/>
        <w:gridCol w:w="505"/>
        <w:gridCol w:w="764"/>
        <w:gridCol w:w="1550"/>
        <w:gridCol w:w="5033"/>
        <w:gridCol w:w="697"/>
      </w:tblGrid>
      <w:tr w:rsidR="00F66592" w:rsidRPr="00F66592" w14:paraId="485451FA" w14:textId="77777777" w:rsidTr="00330885">
        <w:trPr>
          <w:trHeight w:val="567"/>
        </w:trPr>
        <w:tc>
          <w:tcPr>
            <w:tcW w:w="795" w:type="dxa"/>
            <w:shd w:val="clear" w:color="auto" w:fill="auto"/>
          </w:tcPr>
          <w:p w14:paraId="7862C36C" w14:textId="6323C607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So030</w:t>
            </w:r>
          </w:p>
        </w:tc>
        <w:tc>
          <w:tcPr>
            <w:tcW w:w="505" w:type="dxa"/>
            <w:shd w:val="clear" w:color="auto" w:fill="auto"/>
          </w:tcPr>
          <w:p w14:paraId="7FF00D7A" w14:textId="79D5822B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764" w:type="dxa"/>
            <w:shd w:val="clear" w:color="auto" w:fill="auto"/>
          </w:tcPr>
          <w:p w14:paraId="3741FC47" w14:textId="0EEF9559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shd w:val="clear" w:color="auto" w:fill="auto"/>
          </w:tcPr>
          <w:p w14:paraId="79780C7A" w14:textId="18C90537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Karta razredov poplavne nevarnosti - območje preostale nevarnosti (1)</w:t>
            </w:r>
          </w:p>
        </w:tc>
        <w:tc>
          <w:tcPr>
            <w:tcW w:w="5033" w:type="dxa"/>
            <w:shd w:val="clear" w:color="auto" w:fill="auto"/>
          </w:tcPr>
          <w:p w14:paraId="0C826EEB" w14:textId="2AD16877" w:rsidR="00F66592" w:rsidRPr="00F66592" w:rsidRDefault="00F66592" w:rsidP="00F6659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Protipoplavni ukrepi - splošno (2)</w:t>
            </w:r>
            <w:r w:rsidRPr="00F66592">
              <w:rPr>
                <w:rFonts w:ascii="Arial" w:hAnsi="Arial" w:cs="Arial"/>
                <w:sz w:val="20"/>
                <w:szCs w:val="20"/>
              </w:rPr>
              <w:br/>
              <w:t xml:space="preserve">Pred posegi je treba izvesti celovite protipoplavne ukrepe, ki se smiselno navezujejo na območje EUP in so opredeljeni v elaboratu Analiza </w:t>
            </w:r>
            <w:proofErr w:type="spellStart"/>
            <w:r w:rsidRPr="00F66592">
              <w:rPr>
                <w:rFonts w:ascii="Arial" w:hAnsi="Arial" w:cs="Arial"/>
                <w:sz w:val="20"/>
                <w:szCs w:val="20"/>
              </w:rPr>
              <w:t>poplavnosti</w:t>
            </w:r>
            <w:proofErr w:type="spellEnd"/>
            <w:r w:rsidRPr="00F66592">
              <w:rPr>
                <w:rFonts w:ascii="Arial" w:hAnsi="Arial" w:cs="Arial"/>
                <w:sz w:val="20"/>
                <w:szCs w:val="20"/>
              </w:rPr>
              <w:t xml:space="preserve"> v občini Sodražica, IS Projekt d.o.o., št. 20-S/16, Ljubljana, avgust 2017, </w:t>
            </w:r>
            <w:proofErr w:type="spellStart"/>
            <w:r w:rsidRPr="00F66592">
              <w:rPr>
                <w:rFonts w:ascii="Arial" w:hAnsi="Arial" w:cs="Arial"/>
                <w:sz w:val="20"/>
                <w:szCs w:val="20"/>
              </w:rPr>
              <w:t>dop</w:t>
            </w:r>
            <w:proofErr w:type="spellEnd"/>
            <w:r w:rsidRPr="00F66592">
              <w:rPr>
                <w:rFonts w:ascii="Arial" w:hAnsi="Arial" w:cs="Arial"/>
                <w:sz w:val="20"/>
                <w:szCs w:val="20"/>
              </w:rPr>
              <w:t>. april – junij 2020.</w:t>
            </w:r>
          </w:p>
        </w:tc>
        <w:tc>
          <w:tcPr>
            <w:tcW w:w="697" w:type="dxa"/>
            <w:shd w:val="clear" w:color="auto" w:fill="auto"/>
          </w:tcPr>
          <w:p w14:paraId="02E5E379" w14:textId="518A546B" w:rsidR="00F66592" w:rsidRPr="00F66592" w:rsidRDefault="00F66592" w:rsidP="00F6659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F66592" w:rsidRPr="00F66592" w14:paraId="3A81320F" w14:textId="77777777" w:rsidTr="00330885">
        <w:trPr>
          <w:trHeight w:val="567"/>
        </w:trPr>
        <w:tc>
          <w:tcPr>
            <w:tcW w:w="795" w:type="dxa"/>
            <w:shd w:val="clear" w:color="auto" w:fill="auto"/>
          </w:tcPr>
          <w:p w14:paraId="65D9C66D" w14:textId="42D57DF0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auto"/>
          </w:tcPr>
          <w:p w14:paraId="6E9E35F0" w14:textId="134D3DB3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shd w:val="clear" w:color="auto" w:fill="auto"/>
          </w:tcPr>
          <w:p w14:paraId="46881912" w14:textId="1544C9E1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shd w:val="clear" w:color="auto" w:fill="auto"/>
          </w:tcPr>
          <w:p w14:paraId="6E369C21" w14:textId="0B018C04" w:rsidR="00F66592" w:rsidRPr="00F66592" w:rsidRDefault="00F66592" w:rsidP="00F665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3" w:type="dxa"/>
            <w:shd w:val="clear" w:color="auto" w:fill="auto"/>
          </w:tcPr>
          <w:p w14:paraId="596A95E7" w14:textId="77777777" w:rsidR="00F66592" w:rsidRPr="00F66592" w:rsidRDefault="00F66592" w:rsidP="00F6659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 xml:space="preserve">Pri </w:t>
            </w:r>
            <w:proofErr w:type="spellStart"/>
            <w:r w:rsidRPr="00F66592">
              <w:rPr>
                <w:rFonts w:ascii="Arial" w:hAnsi="Arial" w:cs="Arial"/>
                <w:sz w:val="20"/>
                <w:szCs w:val="20"/>
              </w:rPr>
              <w:t>umeščanju</w:t>
            </w:r>
            <w:proofErr w:type="spellEnd"/>
            <w:r w:rsidRPr="00F66592">
              <w:rPr>
                <w:rFonts w:ascii="Arial" w:hAnsi="Arial" w:cs="Arial"/>
                <w:sz w:val="20"/>
                <w:szCs w:val="20"/>
              </w:rPr>
              <w:t xml:space="preserve"> stavb v prostor je treba upoštevati vertikalni gabarit </w:t>
            </w:r>
            <w:proofErr w:type="spellStart"/>
            <w:r w:rsidRPr="00F66592">
              <w:rPr>
                <w:rFonts w:ascii="Arial" w:hAnsi="Arial" w:cs="Arial"/>
                <w:sz w:val="20"/>
                <w:szCs w:val="20"/>
              </w:rPr>
              <w:t>prevladujočega</w:t>
            </w:r>
            <w:proofErr w:type="spellEnd"/>
            <w:r w:rsidRPr="00F66592">
              <w:rPr>
                <w:rFonts w:ascii="Arial" w:hAnsi="Arial" w:cs="Arial"/>
                <w:sz w:val="20"/>
                <w:szCs w:val="20"/>
              </w:rPr>
              <w:t xml:space="preserve"> tipa </w:t>
            </w:r>
            <w:proofErr w:type="spellStart"/>
            <w:r w:rsidRPr="00F66592">
              <w:rPr>
                <w:rFonts w:ascii="Arial" w:hAnsi="Arial" w:cs="Arial"/>
                <w:sz w:val="20"/>
                <w:szCs w:val="20"/>
              </w:rPr>
              <w:t>obstoječih</w:t>
            </w:r>
            <w:proofErr w:type="spellEnd"/>
            <w:r w:rsidRPr="00F66592">
              <w:rPr>
                <w:rFonts w:ascii="Arial" w:hAnsi="Arial" w:cs="Arial"/>
                <w:sz w:val="20"/>
                <w:szCs w:val="20"/>
              </w:rPr>
              <w:t xml:space="preserve"> objektov iste namembnosti, funkcionalnih in tehnoloških potreb. </w:t>
            </w:r>
          </w:p>
          <w:p w14:paraId="58FBEAB0" w14:textId="403C03CD" w:rsidR="00F66592" w:rsidRPr="00F66592" w:rsidRDefault="00F66592" w:rsidP="00F66592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 xml:space="preserve">To ne velja za stavbe, ki so zaradi funkcionalnih zahtev izrazito višje (stavbe s svojevrstno oblikovno zasnovo – cerkev, stavbe za izobraževanje, znanstveno raziskovalno delo in zdravstvo, stanovanjske stavbe za posebne družbene skupine in drugi podobni objekti). Višina stavb je lahko največ 18,0 m. </w:t>
            </w:r>
          </w:p>
        </w:tc>
        <w:tc>
          <w:tcPr>
            <w:tcW w:w="697" w:type="dxa"/>
            <w:shd w:val="clear" w:color="auto" w:fill="auto"/>
          </w:tcPr>
          <w:p w14:paraId="53673C4D" w14:textId="19E1A1B2" w:rsidR="00F66592" w:rsidRPr="00F66592" w:rsidRDefault="00F66592" w:rsidP="00F6659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</w:tr>
    </w:tbl>
    <w:p w14:paraId="096A4C5C" w14:textId="77777777" w:rsidR="00F66592" w:rsidRPr="00F66592" w:rsidRDefault="00F66592" w:rsidP="00F66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</w:rPr>
        <w:t>«</w:t>
      </w:r>
    </w:p>
    <w:p w14:paraId="1F930C0D" w14:textId="77777777" w:rsidR="00D91262" w:rsidRPr="00F66592" w:rsidRDefault="00D91262" w:rsidP="00A471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220809" w14:textId="77777777" w:rsidR="00D91262" w:rsidRPr="00F66592" w:rsidRDefault="00D91262" w:rsidP="00A471E8">
      <w:pPr>
        <w:pStyle w:val="Naslov1"/>
        <w:rPr>
          <w:lang w:eastAsia="en-US"/>
        </w:rPr>
      </w:pPr>
      <w:r w:rsidRPr="00F66592">
        <w:rPr>
          <w:lang w:eastAsia="en-US"/>
        </w:rPr>
        <w:t>člen</w:t>
      </w:r>
    </w:p>
    <w:p w14:paraId="78EDEA0C" w14:textId="77777777" w:rsidR="00D91262" w:rsidRPr="00F66592" w:rsidRDefault="00D91262" w:rsidP="00A471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F807CC" w14:textId="67AA4FAC" w:rsidR="00D91262" w:rsidRPr="00F66592" w:rsidRDefault="00D91262" w:rsidP="00A471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  <w:lang w:eastAsia="en-US"/>
        </w:rPr>
        <w:t xml:space="preserve">V Prilogi 1 – </w:t>
      </w:r>
      <w:r w:rsidRPr="00F66592">
        <w:rPr>
          <w:rFonts w:ascii="Arial" w:hAnsi="Arial" w:cs="Arial"/>
          <w:sz w:val="20"/>
          <w:szCs w:val="20"/>
        </w:rPr>
        <w:t>Posebni prostorski izvedbeni pogoji po enotah urejanja prostora se vrstica za EUP So036 (PNRP CU) spremeni tako, da se glasi:</w:t>
      </w:r>
    </w:p>
    <w:p w14:paraId="4D795D2B" w14:textId="0F411D16" w:rsidR="00D91262" w:rsidRPr="00F66592" w:rsidRDefault="00D91262" w:rsidP="00A471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</w:rPr>
        <w:t>»</w:t>
      </w: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5"/>
        <w:gridCol w:w="565"/>
        <w:gridCol w:w="700"/>
        <w:gridCol w:w="1551"/>
        <w:gridCol w:w="5036"/>
        <w:gridCol w:w="697"/>
      </w:tblGrid>
      <w:tr w:rsidR="00F66592" w:rsidRPr="00F66592" w14:paraId="08E14234" w14:textId="77777777" w:rsidTr="00330885">
        <w:tc>
          <w:tcPr>
            <w:tcW w:w="777" w:type="dxa"/>
            <w:shd w:val="clear" w:color="auto" w:fill="auto"/>
          </w:tcPr>
          <w:p w14:paraId="13B837E4" w14:textId="03C3AFDC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So036</w:t>
            </w:r>
          </w:p>
        </w:tc>
        <w:tc>
          <w:tcPr>
            <w:tcW w:w="565" w:type="dxa"/>
            <w:shd w:val="clear" w:color="auto" w:fill="auto"/>
          </w:tcPr>
          <w:p w14:paraId="1D44E60B" w14:textId="1197483F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702" w:type="dxa"/>
            <w:shd w:val="clear" w:color="auto" w:fill="auto"/>
          </w:tcPr>
          <w:p w14:paraId="773A0105" w14:textId="77777777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07461288" w14:textId="53CB2A39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EŠD 2276 Cerkev Sv. Marije Magdalene - stavbna dediščina, vplivno območje</w:t>
            </w:r>
          </w:p>
        </w:tc>
        <w:tc>
          <w:tcPr>
            <w:tcW w:w="5050" w:type="dxa"/>
            <w:shd w:val="clear" w:color="auto" w:fill="auto"/>
          </w:tcPr>
          <w:p w14:paraId="2641ACAC" w14:textId="0675976D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Posegi se lahko izvajajo le v skladu s projektnimi pogoji in soglasjem pristojnega zavoda.</w:t>
            </w:r>
          </w:p>
        </w:tc>
        <w:tc>
          <w:tcPr>
            <w:tcW w:w="698" w:type="dxa"/>
            <w:shd w:val="clear" w:color="auto" w:fill="auto"/>
          </w:tcPr>
          <w:p w14:paraId="4089FDFA" w14:textId="50BD7331" w:rsidR="00D91262" w:rsidRPr="00F66592" w:rsidRDefault="00D91262" w:rsidP="00A471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F66592" w:rsidRPr="00F66592" w14:paraId="374271FF" w14:textId="77777777" w:rsidTr="00330885">
        <w:tc>
          <w:tcPr>
            <w:tcW w:w="777" w:type="dxa"/>
            <w:shd w:val="clear" w:color="auto" w:fill="auto"/>
          </w:tcPr>
          <w:p w14:paraId="67B01080" w14:textId="77777777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6875F4CF" w14:textId="77777777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103DA223" w14:textId="77777777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2781D2A3" w14:textId="2B652F59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Karta razredov poplavne nevarnosti - območje male nevarnosti (1)</w:t>
            </w:r>
          </w:p>
        </w:tc>
        <w:tc>
          <w:tcPr>
            <w:tcW w:w="5050" w:type="dxa"/>
            <w:shd w:val="clear" w:color="auto" w:fill="auto"/>
          </w:tcPr>
          <w:p w14:paraId="3A7A7A5A" w14:textId="63D6402C" w:rsidR="00D91262" w:rsidRPr="00F66592" w:rsidRDefault="00D91262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Protipoplavni ukrepi (2)</w:t>
            </w:r>
          </w:p>
        </w:tc>
        <w:tc>
          <w:tcPr>
            <w:tcW w:w="698" w:type="dxa"/>
            <w:shd w:val="clear" w:color="auto" w:fill="auto"/>
          </w:tcPr>
          <w:p w14:paraId="07B49EF3" w14:textId="277A3ACC" w:rsidR="00D91262" w:rsidRPr="00F66592" w:rsidRDefault="00D91262" w:rsidP="00A471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F66592" w:rsidRPr="00F66592" w14:paraId="12908E35" w14:textId="77777777" w:rsidTr="00330885">
        <w:tc>
          <w:tcPr>
            <w:tcW w:w="777" w:type="dxa"/>
            <w:shd w:val="clear" w:color="auto" w:fill="auto"/>
          </w:tcPr>
          <w:p w14:paraId="1B2B4E25" w14:textId="77777777" w:rsidR="00B758D0" w:rsidRPr="00F66592" w:rsidRDefault="00B758D0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6761B3A3" w14:textId="77777777" w:rsidR="00B758D0" w:rsidRPr="00F66592" w:rsidRDefault="00B758D0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2A355805" w14:textId="77777777" w:rsidR="00B758D0" w:rsidRPr="00F66592" w:rsidRDefault="00B758D0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14:paraId="5B7E8F8E" w14:textId="77777777" w:rsidR="00B758D0" w:rsidRPr="00F66592" w:rsidRDefault="00B758D0" w:rsidP="00A471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shd w:val="clear" w:color="auto" w:fill="auto"/>
          </w:tcPr>
          <w:p w14:paraId="5F72043A" w14:textId="77777777" w:rsidR="00A471E8" w:rsidRPr="00F66592" w:rsidRDefault="00B758D0" w:rsidP="00A471E8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umeščanju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stavb v prostor je treba upoštevati vertikalni gabarit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prevladujočega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tipa </w:t>
            </w:r>
            <w:proofErr w:type="spellStart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obstoječih</w:t>
            </w:r>
            <w:proofErr w:type="spellEnd"/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objektov iste namembnosti, funkcionalnih in tehnoloških potreb. </w:t>
            </w:r>
          </w:p>
          <w:p w14:paraId="21562F54" w14:textId="3228B9F0" w:rsidR="00B758D0" w:rsidRPr="00F66592" w:rsidRDefault="00B758D0" w:rsidP="00A471E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 ne velja za stavbe, ki so zaradi funkcionalnih zahtev izrazito višje (stavbe s svojevrstno oblikovno zasnovo – cerkev, stavbe za izobraževanje, znanstveno raziskovalno delo in zdravstvo, stanovanjske stavbe za posebne družbene skupine in drugi podobni objekti). Višina stavb je lahko največ 18,0 m</w:t>
            </w:r>
            <w:r w:rsidR="00A471E8"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v</w:t>
            </w: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išina cerkvenega zvonika</w:t>
            </w:r>
            <w:r w:rsidR="00A471E8"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lahko do 45,0 m.</w:t>
            </w:r>
            <w:r w:rsidRPr="00F665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98" w:type="dxa"/>
            <w:shd w:val="clear" w:color="auto" w:fill="auto"/>
          </w:tcPr>
          <w:p w14:paraId="02625CD8" w14:textId="5995A813" w:rsidR="00B758D0" w:rsidRPr="00F66592" w:rsidRDefault="00A471E8" w:rsidP="00A471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5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</w:tbl>
    <w:p w14:paraId="630649C1" w14:textId="40F7DAC4" w:rsidR="008E0FB4" w:rsidRPr="00F66592" w:rsidRDefault="008E0FB4" w:rsidP="00A471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6592">
        <w:rPr>
          <w:rFonts w:ascii="Arial" w:hAnsi="Arial" w:cs="Arial"/>
          <w:sz w:val="20"/>
          <w:szCs w:val="20"/>
        </w:rPr>
        <w:t>«</w:t>
      </w:r>
    </w:p>
    <w:p w14:paraId="4CF368D3" w14:textId="77777777" w:rsidR="00F8097D" w:rsidRPr="00F66592" w:rsidRDefault="00F8097D" w:rsidP="00A471E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B3FEC7E" w14:textId="35F1E265" w:rsidR="00016C4B" w:rsidRPr="00F66592" w:rsidRDefault="00016C4B" w:rsidP="00A471E8">
      <w:pPr>
        <w:pStyle w:val="Odstavekseznama"/>
        <w:numPr>
          <w:ilvl w:val="0"/>
          <w:numId w:val="18"/>
        </w:num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F66592">
        <w:rPr>
          <w:rFonts w:ascii="Arial" w:eastAsia="Times New Roman" w:hAnsi="Arial" w:cs="Arial"/>
          <w:sz w:val="20"/>
          <w:szCs w:val="20"/>
          <w:lang w:eastAsia="en-US"/>
        </w:rPr>
        <w:lastRenderedPageBreak/>
        <w:t>KONČNA DOLOČBA</w:t>
      </w:r>
    </w:p>
    <w:p w14:paraId="7244FA5F" w14:textId="77777777" w:rsidR="00016C4B" w:rsidRPr="00F66592" w:rsidRDefault="00016C4B" w:rsidP="00A471E8">
      <w:pPr>
        <w:pStyle w:val="Odstavekseznama"/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C8BB32E" w14:textId="77777777" w:rsidR="008C68B2" w:rsidRPr="00F66592" w:rsidRDefault="008C68B2" w:rsidP="00A471E8">
      <w:pPr>
        <w:pStyle w:val="Naslov1"/>
        <w:rPr>
          <w:lang w:eastAsia="en-US"/>
        </w:rPr>
      </w:pPr>
      <w:r w:rsidRPr="00F66592">
        <w:rPr>
          <w:lang w:eastAsia="en-US"/>
        </w:rPr>
        <w:t>člen</w:t>
      </w:r>
    </w:p>
    <w:p w14:paraId="7665D462" w14:textId="6C61DD17" w:rsidR="008C68B2" w:rsidRPr="00F66592" w:rsidRDefault="008C68B2" w:rsidP="00A471E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(veljavnost prostorskega </w:t>
      </w:r>
      <w:r w:rsidR="00365322" w:rsidRPr="00F66592">
        <w:rPr>
          <w:rFonts w:ascii="Arial" w:eastAsia="Times New Roman" w:hAnsi="Arial" w:cs="Arial"/>
          <w:sz w:val="20"/>
          <w:szCs w:val="20"/>
          <w:lang w:eastAsia="en-US"/>
        </w:rPr>
        <w:t>akta</w:t>
      </w:r>
      <w:r w:rsidRPr="00F66592">
        <w:rPr>
          <w:rFonts w:ascii="Arial" w:eastAsia="Times New Roman" w:hAnsi="Arial" w:cs="Arial"/>
          <w:sz w:val="20"/>
          <w:szCs w:val="20"/>
          <w:lang w:eastAsia="en-US"/>
        </w:rPr>
        <w:t>)</w:t>
      </w:r>
    </w:p>
    <w:p w14:paraId="3B91AA4A" w14:textId="77777777" w:rsidR="008C68B2" w:rsidRPr="00F66592" w:rsidRDefault="008C68B2" w:rsidP="00A471E8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E3EA7EE" w14:textId="4D90B43A" w:rsidR="008C68B2" w:rsidRPr="00F66592" w:rsidRDefault="008C68B2" w:rsidP="00A471E8">
      <w:pPr>
        <w:tabs>
          <w:tab w:val="left" w:pos="567"/>
        </w:tabs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66592">
        <w:rPr>
          <w:rFonts w:ascii="Arial" w:eastAsia="Times New Roman" w:hAnsi="Arial" w:cs="Arial"/>
          <w:sz w:val="20"/>
          <w:szCs w:val="20"/>
          <w:lang w:eastAsia="en-US"/>
        </w:rPr>
        <w:t xml:space="preserve">Ta odlok se objavi v Uradnem listu Republike Slovenije in začne veljati petnajsti dan po objavi. </w:t>
      </w:r>
    </w:p>
    <w:p w14:paraId="33AA6ECF" w14:textId="418C5958" w:rsidR="008C68B2" w:rsidRPr="00F66592" w:rsidRDefault="008C68B2" w:rsidP="00A471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11B5379" w14:textId="4F65B9EB" w:rsidR="00A31506" w:rsidRPr="00F66592" w:rsidRDefault="00A31506" w:rsidP="00A471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533894" w14:textId="77777777" w:rsidR="00B80993" w:rsidRPr="00F66592" w:rsidRDefault="00B80993" w:rsidP="00A471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A586BE" w14:textId="42096DDA" w:rsidR="00A462C4" w:rsidRPr="00F66592" w:rsidRDefault="00A462C4" w:rsidP="00A471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66592">
        <w:rPr>
          <w:rFonts w:ascii="Arial" w:hAnsi="Arial" w:cs="Arial"/>
          <w:bCs/>
          <w:sz w:val="20"/>
          <w:szCs w:val="20"/>
        </w:rPr>
        <w:t xml:space="preserve">Številka: </w:t>
      </w:r>
    </w:p>
    <w:p w14:paraId="2C2FD589" w14:textId="7DC6563A" w:rsidR="00A462C4" w:rsidRPr="00F66592" w:rsidRDefault="00A462C4" w:rsidP="00A471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66592">
        <w:rPr>
          <w:rFonts w:ascii="Arial" w:hAnsi="Arial" w:cs="Arial"/>
          <w:bCs/>
          <w:sz w:val="20"/>
          <w:szCs w:val="20"/>
        </w:rPr>
        <w:t xml:space="preserve">Datum: </w:t>
      </w:r>
    </w:p>
    <w:p w14:paraId="5F548402" w14:textId="77777777" w:rsidR="007F5EE6" w:rsidRPr="00F66592" w:rsidRDefault="007F5EE6" w:rsidP="00A471E8">
      <w:pPr>
        <w:spacing w:after="0" w:line="240" w:lineRule="auto"/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</w:p>
    <w:p w14:paraId="1ECCEDCC" w14:textId="77777777" w:rsidR="007F5EE6" w:rsidRPr="00F66592" w:rsidRDefault="007F5EE6" w:rsidP="00A471E8">
      <w:pPr>
        <w:spacing w:after="0" w:line="240" w:lineRule="auto"/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</w:p>
    <w:p w14:paraId="34572263" w14:textId="77777777" w:rsidR="007F5EE6" w:rsidRPr="00F66592" w:rsidRDefault="007F5EE6" w:rsidP="00A471E8">
      <w:pPr>
        <w:spacing w:after="0" w:line="240" w:lineRule="auto"/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</w:p>
    <w:p w14:paraId="240B8478" w14:textId="36CB67BA" w:rsidR="003F403F" w:rsidRPr="00F66592" w:rsidRDefault="003F403F" w:rsidP="00A471E8">
      <w:pPr>
        <w:spacing w:after="0" w:line="240" w:lineRule="auto"/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F66592">
        <w:rPr>
          <w:rFonts w:ascii="Arial" w:hAnsi="Arial" w:cs="Arial"/>
          <w:bCs/>
          <w:sz w:val="20"/>
          <w:szCs w:val="20"/>
        </w:rPr>
        <w:t>Ž</w:t>
      </w:r>
      <w:r w:rsidR="00A462C4" w:rsidRPr="00F66592">
        <w:rPr>
          <w:rFonts w:ascii="Arial" w:hAnsi="Arial" w:cs="Arial"/>
          <w:bCs/>
          <w:sz w:val="20"/>
          <w:szCs w:val="20"/>
        </w:rPr>
        <w:t xml:space="preserve">upan </w:t>
      </w:r>
    </w:p>
    <w:p w14:paraId="421FB259" w14:textId="020F67BE" w:rsidR="00A462C4" w:rsidRPr="00F66592" w:rsidRDefault="00A462C4" w:rsidP="00A471E8">
      <w:pPr>
        <w:spacing w:after="0" w:line="240" w:lineRule="auto"/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  <w:r w:rsidRPr="00F66592">
        <w:rPr>
          <w:rFonts w:ascii="Arial" w:hAnsi="Arial" w:cs="Arial"/>
          <w:bCs/>
          <w:sz w:val="20"/>
          <w:szCs w:val="20"/>
        </w:rPr>
        <w:t xml:space="preserve">Občine </w:t>
      </w:r>
      <w:r w:rsidR="00A31506" w:rsidRPr="00F66592">
        <w:rPr>
          <w:rFonts w:ascii="Arial" w:hAnsi="Arial" w:cs="Arial"/>
          <w:bCs/>
          <w:sz w:val="20"/>
          <w:szCs w:val="20"/>
        </w:rPr>
        <w:t>Sodražica</w:t>
      </w:r>
    </w:p>
    <w:p w14:paraId="5509E868" w14:textId="75B807CE" w:rsidR="00A462C4" w:rsidRPr="00F66592" w:rsidRDefault="002679EF" w:rsidP="00A471E8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Mag. </w:t>
      </w:r>
      <w:r w:rsidR="00A31506" w:rsidRPr="00F66592">
        <w:rPr>
          <w:rFonts w:ascii="Arial" w:hAnsi="Arial" w:cs="Arial"/>
          <w:b/>
          <w:sz w:val="20"/>
          <w:szCs w:val="20"/>
        </w:rPr>
        <w:t>Blaž Milavec</w:t>
      </w:r>
    </w:p>
    <w:p w14:paraId="27F5D23B" w14:textId="77777777" w:rsidR="00A462C4" w:rsidRPr="00F66592" w:rsidRDefault="00A462C4" w:rsidP="00A471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462C4" w:rsidRPr="00F66592" w:rsidSect="001C7A1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F46C" w14:textId="77777777" w:rsidR="001C7A1F" w:rsidRDefault="001C7A1F" w:rsidP="00DE7917">
      <w:pPr>
        <w:spacing w:after="0" w:line="240" w:lineRule="auto"/>
      </w:pPr>
      <w:r>
        <w:separator/>
      </w:r>
    </w:p>
  </w:endnote>
  <w:endnote w:type="continuationSeparator" w:id="0">
    <w:p w14:paraId="76671284" w14:textId="77777777" w:rsidR="001C7A1F" w:rsidRDefault="001C7A1F" w:rsidP="00DE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 BT">
    <w:altName w:val="Malgun Gothic Semilight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173969"/>
      <w:docPartObj>
        <w:docPartGallery w:val="Page Numbers (Bottom of Page)"/>
        <w:docPartUnique/>
      </w:docPartObj>
    </w:sdtPr>
    <w:sdtEndPr/>
    <w:sdtContent>
      <w:p w14:paraId="659CDEE1" w14:textId="1FB4A6FC" w:rsidR="00365322" w:rsidRDefault="00365322" w:rsidP="00365322">
        <w:pPr>
          <w:pStyle w:val="Noga"/>
          <w:jc w:val="center"/>
        </w:pPr>
        <w:r w:rsidRPr="00365322">
          <w:rPr>
            <w:rFonts w:ascii="Arial" w:hAnsi="Arial" w:cs="Arial"/>
            <w:sz w:val="14"/>
            <w:szCs w:val="14"/>
          </w:rPr>
          <w:fldChar w:fldCharType="begin"/>
        </w:r>
        <w:r w:rsidRPr="00365322">
          <w:rPr>
            <w:rFonts w:ascii="Arial" w:hAnsi="Arial" w:cs="Arial"/>
            <w:sz w:val="14"/>
            <w:szCs w:val="14"/>
          </w:rPr>
          <w:instrText>PAGE   \* MERGEFORMAT</w:instrText>
        </w:r>
        <w:r w:rsidRPr="00365322">
          <w:rPr>
            <w:rFonts w:ascii="Arial" w:hAnsi="Arial" w:cs="Arial"/>
            <w:sz w:val="14"/>
            <w:szCs w:val="14"/>
          </w:rPr>
          <w:fldChar w:fldCharType="separate"/>
        </w:r>
        <w:r w:rsidR="001C7BA7">
          <w:rPr>
            <w:rFonts w:ascii="Arial" w:hAnsi="Arial" w:cs="Arial"/>
            <w:noProof/>
            <w:sz w:val="14"/>
            <w:szCs w:val="14"/>
          </w:rPr>
          <w:t>3</w:t>
        </w:r>
        <w:r w:rsidRPr="00365322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AF94C" w14:textId="77777777" w:rsidR="001C7A1F" w:rsidRDefault="001C7A1F" w:rsidP="00DE7917">
      <w:pPr>
        <w:spacing w:after="0" w:line="240" w:lineRule="auto"/>
      </w:pPr>
      <w:r>
        <w:separator/>
      </w:r>
    </w:p>
  </w:footnote>
  <w:footnote w:type="continuationSeparator" w:id="0">
    <w:p w14:paraId="7C32202B" w14:textId="77777777" w:rsidR="001C7A1F" w:rsidRDefault="001C7A1F" w:rsidP="00DE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F222" w14:textId="4D844B36" w:rsidR="007F5EE6" w:rsidRPr="007F5EE6" w:rsidRDefault="007F5EE6" w:rsidP="007F5EE6">
    <w:pPr>
      <w:pStyle w:val="Glava"/>
      <w:jc w:val="right"/>
      <w:rPr>
        <w:color w:val="808080" w:themeColor="background1" w:themeShade="80"/>
      </w:rPr>
    </w:pPr>
    <w:r w:rsidRPr="007F5EE6">
      <w:rPr>
        <w:color w:val="808080" w:themeColor="background1" w:themeShade="80"/>
      </w:rPr>
      <w:t>predlog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B63"/>
    <w:multiLevelType w:val="hybridMultilevel"/>
    <w:tmpl w:val="E688A0CA"/>
    <w:lvl w:ilvl="0" w:tplc="A5100648">
      <w:start w:val="100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C58"/>
    <w:multiLevelType w:val="hybridMultilevel"/>
    <w:tmpl w:val="C188E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0BB"/>
    <w:multiLevelType w:val="hybridMultilevel"/>
    <w:tmpl w:val="CB82C0FA"/>
    <w:lvl w:ilvl="0" w:tplc="82348B9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3AD"/>
    <w:multiLevelType w:val="hybridMultilevel"/>
    <w:tmpl w:val="56C41348"/>
    <w:lvl w:ilvl="0" w:tplc="3F286A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6364"/>
    <w:multiLevelType w:val="hybridMultilevel"/>
    <w:tmpl w:val="A4B42E9E"/>
    <w:lvl w:ilvl="0" w:tplc="9FE0D3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04567"/>
    <w:multiLevelType w:val="hybridMultilevel"/>
    <w:tmpl w:val="13449D2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C67"/>
    <w:multiLevelType w:val="hybridMultilevel"/>
    <w:tmpl w:val="DE7027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3B5D"/>
    <w:multiLevelType w:val="hybridMultilevel"/>
    <w:tmpl w:val="3C90CC8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41932"/>
    <w:multiLevelType w:val="hybridMultilevel"/>
    <w:tmpl w:val="AB44B966"/>
    <w:lvl w:ilvl="0" w:tplc="08D2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4F"/>
    <w:multiLevelType w:val="hybridMultilevel"/>
    <w:tmpl w:val="3BBC1F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7202A"/>
    <w:multiLevelType w:val="hybridMultilevel"/>
    <w:tmpl w:val="5AB2FA14"/>
    <w:lvl w:ilvl="0" w:tplc="82348B9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640F"/>
    <w:multiLevelType w:val="hybridMultilevel"/>
    <w:tmpl w:val="25D23E6E"/>
    <w:lvl w:ilvl="0" w:tplc="5B287B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E70F62"/>
    <w:multiLevelType w:val="hybridMultilevel"/>
    <w:tmpl w:val="9F783C18"/>
    <w:lvl w:ilvl="0" w:tplc="82348B9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0498C"/>
    <w:multiLevelType w:val="hybridMultilevel"/>
    <w:tmpl w:val="090093BC"/>
    <w:lvl w:ilvl="0" w:tplc="15EC6130">
      <w:start w:val="1"/>
      <w:numFmt w:val="decimal"/>
      <w:pStyle w:val="Odstavekseznama1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453DE"/>
    <w:multiLevelType w:val="hybridMultilevel"/>
    <w:tmpl w:val="918666BC"/>
    <w:lvl w:ilvl="0" w:tplc="7292E3A8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7049"/>
    <w:multiLevelType w:val="hybridMultilevel"/>
    <w:tmpl w:val="FE84C12C"/>
    <w:lvl w:ilvl="0" w:tplc="FEACC0C6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714EE"/>
    <w:multiLevelType w:val="hybridMultilevel"/>
    <w:tmpl w:val="FA9CD752"/>
    <w:lvl w:ilvl="0" w:tplc="00000013">
      <w:start w:val="1"/>
      <w:numFmt w:val="decimal"/>
      <w:lvlText w:val="(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E5050"/>
    <w:multiLevelType w:val="hybridMultilevel"/>
    <w:tmpl w:val="DEA604C8"/>
    <w:lvl w:ilvl="0" w:tplc="AE78BCB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63947"/>
    <w:multiLevelType w:val="hybridMultilevel"/>
    <w:tmpl w:val="0A687E9A"/>
    <w:lvl w:ilvl="0" w:tplc="3296F6F2"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46751"/>
    <w:multiLevelType w:val="hybridMultilevel"/>
    <w:tmpl w:val="86E69766"/>
    <w:lvl w:ilvl="0" w:tplc="CE9A978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29D"/>
    <w:multiLevelType w:val="hybridMultilevel"/>
    <w:tmpl w:val="A300B17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0754"/>
    <w:multiLevelType w:val="hybridMultilevel"/>
    <w:tmpl w:val="12B2728C"/>
    <w:lvl w:ilvl="0" w:tplc="B2666C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41DD2"/>
    <w:multiLevelType w:val="hybridMultilevel"/>
    <w:tmpl w:val="7A30239C"/>
    <w:lvl w:ilvl="0" w:tplc="D6C00C2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0"/>
  </w:num>
  <w:num w:numId="13">
    <w:abstractNumId w:val="20"/>
  </w:num>
  <w:num w:numId="14">
    <w:abstractNumId w:val="18"/>
  </w:num>
  <w:num w:numId="15">
    <w:abstractNumId w:val="16"/>
  </w:num>
  <w:num w:numId="16">
    <w:abstractNumId w:val="3"/>
  </w:num>
  <w:num w:numId="17">
    <w:abstractNumId w:val="7"/>
  </w:num>
  <w:num w:numId="18">
    <w:abstractNumId w:val="5"/>
  </w:num>
  <w:num w:numId="19">
    <w:abstractNumId w:val="9"/>
  </w:num>
  <w:num w:numId="20">
    <w:abstractNumId w:val="10"/>
  </w:num>
  <w:num w:numId="21">
    <w:abstractNumId w:val="2"/>
  </w:num>
  <w:num w:numId="22">
    <w:abstractNumId w:val="1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C4"/>
    <w:rsid w:val="00016C4B"/>
    <w:rsid w:val="000362CD"/>
    <w:rsid w:val="00066EDE"/>
    <w:rsid w:val="000967C4"/>
    <w:rsid w:val="000A3E79"/>
    <w:rsid w:val="000D7DA4"/>
    <w:rsid w:val="001C3FA7"/>
    <w:rsid w:val="001C7A1F"/>
    <w:rsid w:val="001C7BA7"/>
    <w:rsid w:val="002171C1"/>
    <w:rsid w:val="0022787A"/>
    <w:rsid w:val="002679EF"/>
    <w:rsid w:val="002E479C"/>
    <w:rsid w:val="00300C78"/>
    <w:rsid w:val="00330885"/>
    <w:rsid w:val="003646D3"/>
    <w:rsid w:val="00365322"/>
    <w:rsid w:val="003B02CF"/>
    <w:rsid w:val="003C538A"/>
    <w:rsid w:val="003F403F"/>
    <w:rsid w:val="00410947"/>
    <w:rsid w:val="00433E33"/>
    <w:rsid w:val="0049241D"/>
    <w:rsid w:val="0056628C"/>
    <w:rsid w:val="00572D61"/>
    <w:rsid w:val="00594291"/>
    <w:rsid w:val="005D0A8D"/>
    <w:rsid w:val="005E2ED2"/>
    <w:rsid w:val="0068446E"/>
    <w:rsid w:val="006B1E3A"/>
    <w:rsid w:val="006F5F37"/>
    <w:rsid w:val="007304C7"/>
    <w:rsid w:val="00786631"/>
    <w:rsid w:val="007D4CD4"/>
    <w:rsid w:val="007F5EE6"/>
    <w:rsid w:val="008C68B2"/>
    <w:rsid w:val="008E0FB4"/>
    <w:rsid w:val="009A55E7"/>
    <w:rsid w:val="009C3E56"/>
    <w:rsid w:val="00A31506"/>
    <w:rsid w:val="00A462C4"/>
    <w:rsid w:val="00A471E8"/>
    <w:rsid w:val="00A810F6"/>
    <w:rsid w:val="00AD153A"/>
    <w:rsid w:val="00B62DF0"/>
    <w:rsid w:val="00B758D0"/>
    <w:rsid w:val="00B80993"/>
    <w:rsid w:val="00BA7CBA"/>
    <w:rsid w:val="00C01C42"/>
    <w:rsid w:val="00C10514"/>
    <w:rsid w:val="00CB2A99"/>
    <w:rsid w:val="00CC4776"/>
    <w:rsid w:val="00D91262"/>
    <w:rsid w:val="00DE7917"/>
    <w:rsid w:val="00E0012C"/>
    <w:rsid w:val="00E071B6"/>
    <w:rsid w:val="00ED098D"/>
    <w:rsid w:val="00EF342F"/>
    <w:rsid w:val="00F50B97"/>
    <w:rsid w:val="00F66592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87F"/>
  <w15:chartTrackingRefBased/>
  <w15:docId w15:val="{56A58888-4CA2-4A4F-97C3-8E66095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62C4"/>
    <w:pPr>
      <w:suppressAutoHyphens/>
      <w:spacing w:line="256" w:lineRule="auto"/>
    </w:pPr>
    <w:rPr>
      <w:rFonts w:ascii="Calibri" w:eastAsia="Calibri" w:hAnsi="Calibri" w:cs="Calibri"/>
      <w:lang w:eastAsia="ar-SA"/>
    </w:rPr>
  </w:style>
  <w:style w:type="paragraph" w:styleId="Naslov1">
    <w:name w:val="heading 1"/>
    <w:aliases w:val="št. člena"/>
    <w:basedOn w:val="Navaden"/>
    <w:next w:val="Navaden"/>
    <w:link w:val="Naslov1Znak"/>
    <w:uiPriority w:val="9"/>
    <w:qFormat/>
    <w:rsid w:val="000A3E79"/>
    <w:pPr>
      <w:numPr>
        <w:numId w:val="1"/>
      </w:numPr>
      <w:tabs>
        <w:tab w:val="left" w:pos="284"/>
      </w:tabs>
      <w:spacing w:after="0" w:line="240" w:lineRule="auto"/>
      <w:ind w:left="0" w:firstLine="0"/>
      <w:jc w:val="center"/>
      <w:outlineLvl w:val="0"/>
    </w:pPr>
    <w:rPr>
      <w:rFonts w:ascii="Arial" w:hAnsi="Arial" w:cs="Arial"/>
      <w:bCs/>
      <w:sz w:val="20"/>
      <w:szCs w:val="20"/>
    </w:rPr>
  </w:style>
  <w:style w:type="paragraph" w:styleId="Naslov2">
    <w:name w:val="heading 2"/>
    <w:aliases w:val="ime člena"/>
    <w:basedOn w:val="Navaden"/>
    <w:next w:val="Navaden"/>
    <w:link w:val="Naslov2Znak"/>
    <w:uiPriority w:val="9"/>
    <w:unhideWhenUsed/>
    <w:qFormat/>
    <w:rsid w:val="000A3E79"/>
    <w:pPr>
      <w:spacing w:after="0" w:line="240" w:lineRule="auto"/>
      <w:jc w:val="center"/>
      <w:outlineLvl w:val="1"/>
    </w:pPr>
    <w:rPr>
      <w:rFonts w:ascii="Arial" w:hAnsi="Arial" w:cs="Arial"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462C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462C4"/>
    <w:rPr>
      <w:rFonts w:ascii="Calibri" w:eastAsia="Calibri" w:hAnsi="Calibri" w:cs="Calibri"/>
      <w:lang w:eastAsia="ar-SA"/>
    </w:rPr>
  </w:style>
  <w:style w:type="paragraph" w:styleId="Odstavekseznama">
    <w:name w:val="List Paragraph"/>
    <w:basedOn w:val="Navaden"/>
    <w:uiPriority w:val="34"/>
    <w:qFormat/>
    <w:rsid w:val="004109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E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7917"/>
    <w:rPr>
      <w:rFonts w:ascii="Calibri" w:eastAsia="Calibri" w:hAnsi="Calibri" w:cs="Calibri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DE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917"/>
    <w:rPr>
      <w:rFonts w:ascii="Calibri" w:eastAsia="Calibri" w:hAnsi="Calibri" w:cs="Calibri"/>
      <w:lang w:eastAsia="ar-SA"/>
    </w:rPr>
  </w:style>
  <w:style w:type="paragraph" w:customStyle="1" w:styleId="odstavek">
    <w:name w:val="odstavek"/>
    <w:basedOn w:val="Navaden"/>
    <w:rsid w:val="002E47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2E47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aliases w:val="št. člena Znak"/>
    <w:basedOn w:val="Privzetapisavaodstavka"/>
    <w:link w:val="Naslov1"/>
    <w:uiPriority w:val="9"/>
    <w:rsid w:val="000A3E79"/>
    <w:rPr>
      <w:rFonts w:ascii="Arial" w:eastAsia="Calibri" w:hAnsi="Arial" w:cs="Arial"/>
      <w:bCs/>
      <w:sz w:val="20"/>
      <w:szCs w:val="20"/>
      <w:lang w:eastAsia="ar-SA"/>
    </w:rPr>
  </w:style>
  <w:style w:type="character" w:customStyle="1" w:styleId="Naslov2Znak">
    <w:name w:val="Naslov 2 Znak"/>
    <w:aliases w:val="ime člena Znak"/>
    <w:basedOn w:val="Privzetapisavaodstavka"/>
    <w:link w:val="Naslov2"/>
    <w:uiPriority w:val="9"/>
    <w:rsid w:val="000A3E79"/>
    <w:rPr>
      <w:rFonts w:ascii="Arial" w:eastAsia="Calibri" w:hAnsi="Arial" w:cs="Arial"/>
      <w:bCs/>
      <w:sz w:val="20"/>
      <w:szCs w:val="20"/>
      <w:lang w:eastAsia="ar-SA"/>
    </w:rPr>
  </w:style>
  <w:style w:type="character" w:styleId="Hiperpovezava">
    <w:name w:val="Hyperlink"/>
    <w:basedOn w:val="Privzetapisavaodstavka"/>
    <w:uiPriority w:val="99"/>
    <w:unhideWhenUsed/>
    <w:rsid w:val="000D7DA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D7DA4"/>
    <w:rPr>
      <w:color w:val="605E5C"/>
      <w:shd w:val="clear" w:color="auto" w:fill="E1DFDD"/>
    </w:rPr>
  </w:style>
  <w:style w:type="paragraph" w:customStyle="1" w:styleId="Odstavekseznama1">
    <w:name w:val="Odstavek seznama1"/>
    <w:basedOn w:val="Odstavekseznama"/>
    <w:qFormat/>
    <w:rsid w:val="008C68B2"/>
    <w:pPr>
      <w:numPr>
        <w:numId w:val="10"/>
      </w:numPr>
      <w:tabs>
        <w:tab w:val="left" w:pos="567"/>
      </w:tabs>
      <w:suppressAutoHyphens w:val="0"/>
      <w:spacing w:after="0" w:line="240" w:lineRule="auto"/>
      <w:ind w:left="0" w:firstLine="0"/>
      <w:jc w:val="both"/>
    </w:pPr>
    <w:rPr>
      <w:rFonts w:ascii="Arial" w:eastAsia="Times New Roman" w:hAnsi="Arial" w:cs="Arial"/>
      <w:sz w:val="20"/>
      <w:lang w:eastAsia="en-US"/>
    </w:rPr>
  </w:style>
  <w:style w:type="table" w:styleId="Tabelamrea">
    <w:name w:val="Table Grid"/>
    <w:basedOn w:val="Navadnatabela"/>
    <w:uiPriority w:val="39"/>
    <w:rsid w:val="008E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Vinko Čampa</cp:lastModifiedBy>
  <cp:revision>20</cp:revision>
  <cp:lastPrinted>2023-01-03T10:16:00Z</cp:lastPrinted>
  <dcterms:created xsi:type="dcterms:W3CDTF">2022-12-01T10:28:00Z</dcterms:created>
  <dcterms:modified xsi:type="dcterms:W3CDTF">2024-02-12T10:54:00Z</dcterms:modified>
</cp:coreProperties>
</file>